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7"/>
          <w:rFonts w:hint="eastAsia" w:ascii="微软雅黑" w:hAnsi="微软雅黑" w:eastAsia="微软雅黑" w:cs="微软雅黑"/>
          <w:color w:val="464646"/>
          <w:sz w:val="21"/>
          <w:szCs w:val="21"/>
          <w:u w:val="none"/>
        </w:rPr>
      </w:pPr>
      <w:r>
        <w:rPr>
          <w:rStyle w:val="7"/>
          <w:rFonts w:hint="eastAsia" w:ascii="微软雅黑" w:hAnsi="微软雅黑" w:eastAsia="微软雅黑" w:cs="微软雅黑"/>
          <w:color w:val="464646"/>
          <w:sz w:val="21"/>
          <w:szCs w:val="21"/>
          <w:u w:val="none"/>
        </w:rPr>
        <w:t>附件：</w:t>
      </w:r>
    </w:p>
    <w:p>
      <w:pPr>
        <w:jc w:val="center"/>
        <w:rPr>
          <w:rFonts w:hint="eastAsia" w:ascii="黑体" w:hAnsi="黑体" w:eastAsia="黑体" w:cs="黑体"/>
          <w:color w:val="auto"/>
          <w:sz w:val="24"/>
          <w:szCs w:val="24"/>
          <w:lang w:val="en-US" w:eastAsia="zh-CN"/>
        </w:rPr>
      </w:pPr>
      <w:bookmarkStart w:id="0" w:name="_GoBack"/>
      <w:r>
        <w:rPr>
          <w:rStyle w:val="7"/>
          <w:rFonts w:hint="eastAsia" w:ascii="黑体" w:hAnsi="黑体" w:eastAsia="黑体" w:cs="黑体"/>
          <w:color w:val="auto"/>
          <w:sz w:val="28"/>
          <w:szCs w:val="28"/>
          <w:u w:val="none"/>
        </w:rPr>
        <w:t>常州工学院201</w:t>
      </w:r>
      <w:r>
        <w:rPr>
          <w:rStyle w:val="7"/>
          <w:rFonts w:hint="eastAsia" w:ascii="黑体" w:hAnsi="黑体" w:eastAsia="黑体" w:cs="黑体"/>
          <w:color w:val="auto"/>
          <w:sz w:val="28"/>
          <w:szCs w:val="28"/>
          <w:u w:val="none"/>
          <w:lang w:val="en-US" w:eastAsia="zh-CN"/>
        </w:rPr>
        <w:t>7</w:t>
      </w:r>
      <w:r>
        <w:rPr>
          <w:rStyle w:val="7"/>
          <w:rFonts w:hint="eastAsia" w:ascii="黑体" w:hAnsi="黑体" w:eastAsia="黑体" w:cs="黑体"/>
          <w:color w:val="auto"/>
          <w:sz w:val="28"/>
          <w:szCs w:val="28"/>
          <w:u w:val="none"/>
        </w:rPr>
        <w:t>年度高等教育研究课题立项表</w:t>
      </w:r>
      <w:bookmarkEnd w:id="0"/>
    </w:p>
    <w:tbl>
      <w:tblPr>
        <w:tblStyle w:val="8"/>
        <w:tblW w:w="8908" w:type="dxa"/>
        <w:jc w:val="center"/>
        <w:tblCellSpacing w:w="0" w:type="dxa"/>
        <w:tblInd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990"/>
        <w:gridCol w:w="2977"/>
        <w:gridCol w:w="741"/>
        <w:gridCol w:w="1020"/>
        <w:gridCol w:w="885"/>
        <w:gridCol w:w="22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cs="Times New Roman" w:eastAsiaTheme="minorEastAsia"/>
                <w:b/>
                <w:i w:val="0"/>
                <w:iCs w:val="0"/>
                <w:color w:val="000000"/>
                <w:kern w:val="0"/>
                <w:sz w:val="18"/>
                <w:szCs w:val="18"/>
                <w:u w:val="none"/>
                <w:lang w:val="en-US" w:eastAsia="zh-CN" w:bidi="ar"/>
              </w:rPr>
            </w:pPr>
            <w:r>
              <w:rPr>
                <w:rFonts w:hint="default" w:ascii="Times New Roman" w:hAnsi="Times New Roman" w:cs="Times New Roman" w:eastAsiaTheme="minorEastAsia"/>
                <w:b/>
                <w:i w:val="0"/>
                <w:iCs w:val="0"/>
                <w:color w:val="000000"/>
                <w:kern w:val="0"/>
                <w:sz w:val="18"/>
                <w:szCs w:val="18"/>
                <w:u w:val="none"/>
                <w:lang w:val="en-US" w:eastAsia="zh-CN" w:bidi="ar"/>
              </w:rPr>
              <w:t>课题</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val="0"/>
                <w:i w:val="0"/>
                <w:color w:val="000000"/>
                <w:sz w:val="22"/>
                <w:szCs w:val="22"/>
              </w:rPr>
            </w:pPr>
            <w:r>
              <w:rPr>
                <w:rFonts w:hint="default" w:ascii="Times New Roman" w:hAnsi="Times New Roman" w:cs="Times New Roman" w:eastAsiaTheme="minorEastAsia"/>
                <w:b/>
                <w:i w:val="0"/>
                <w:iCs w:val="0"/>
                <w:color w:val="000000"/>
                <w:kern w:val="0"/>
                <w:sz w:val="18"/>
                <w:szCs w:val="18"/>
                <w:u w:val="none"/>
                <w:lang w:val="en-US" w:eastAsia="zh-CN" w:bidi="ar"/>
              </w:rPr>
              <w:t>编号</w:t>
            </w:r>
          </w:p>
        </w:tc>
        <w:tc>
          <w:tcPr>
            <w:tcW w:w="2977"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val="0"/>
                <w:i w:val="0"/>
                <w:color w:val="000000"/>
                <w:sz w:val="22"/>
                <w:szCs w:val="22"/>
              </w:rPr>
            </w:pPr>
            <w:r>
              <w:rPr>
                <w:rFonts w:hint="default" w:ascii="Times New Roman" w:hAnsi="Times New Roman" w:cs="Times New Roman" w:eastAsiaTheme="minorEastAsia"/>
                <w:b/>
                <w:i w:val="0"/>
                <w:iCs w:val="0"/>
                <w:color w:val="000000"/>
                <w:kern w:val="0"/>
                <w:sz w:val="18"/>
                <w:szCs w:val="18"/>
                <w:u w:val="none"/>
                <w:lang w:val="en-US" w:eastAsia="zh-CN" w:bidi="ar"/>
              </w:rPr>
              <w:t>课题名称</w:t>
            </w:r>
          </w:p>
        </w:tc>
        <w:tc>
          <w:tcPr>
            <w:tcW w:w="741"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val="0"/>
                <w:i w:val="0"/>
                <w:color w:val="000000"/>
                <w:sz w:val="22"/>
                <w:szCs w:val="22"/>
              </w:rPr>
            </w:pPr>
            <w:r>
              <w:rPr>
                <w:rFonts w:hint="default" w:ascii="Times New Roman" w:hAnsi="Times New Roman" w:cs="Times New Roman" w:eastAsiaTheme="minorEastAsia"/>
                <w:b/>
                <w:i w:val="0"/>
                <w:iCs w:val="0"/>
                <w:color w:val="000000"/>
                <w:kern w:val="0"/>
                <w:sz w:val="18"/>
                <w:szCs w:val="18"/>
                <w:u w:val="none"/>
                <w:lang w:val="en-US" w:eastAsia="zh-CN" w:bidi="ar"/>
              </w:rPr>
              <w:t>课题类别</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cs="Times New Roman" w:eastAsiaTheme="minorEastAsia"/>
                <w:b/>
                <w:i w:val="0"/>
                <w:iCs w:val="0"/>
                <w:color w:val="000000"/>
                <w:kern w:val="0"/>
                <w:sz w:val="18"/>
                <w:szCs w:val="18"/>
                <w:u w:val="none"/>
                <w:lang w:val="en-US" w:eastAsia="zh-CN" w:bidi="ar"/>
              </w:rPr>
            </w:pPr>
            <w:r>
              <w:rPr>
                <w:rFonts w:hint="default" w:ascii="Times New Roman" w:hAnsi="Times New Roman" w:cs="Times New Roman" w:eastAsiaTheme="minorEastAsia"/>
                <w:b/>
                <w:i w:val="0"/>
                <w:iCs w:val="0"/>
                <w:color w:val="000000"/>
                <w:kern w:val="0"/>
                <w:sz w:val="18"/>
                <w:szCs w:val="18"/>
                <w:u w:val="none"/>
                <w:lang w:val="en-US" w:eastAsia="zh-CN" w:bidi="ar"/>
              </w:rPr>
              <w:t>批准</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cs="Times New Roman" w:eastAsiaTheme="minorEastAsia"/>
                <w:b/>
                <w:i w:val="0"/>
                <w:iCs w:val="0"/>
                <w:color w:val="000000"/>
                <w:kern w:val="0"/>
                <w:sz w:val="18"/>
                <w:szCs w:val="18"/>
                <w:u w:val="none"/>
                <w:lang w:val="en-US" w:eastAsia="zh-CN" w:bidi="ar"/>
              </w:rPr>
            </w:pPr>
            <w:r>
              <w:rPr>
                <w:rFonts w:hint="default" w:ascii="Times New Roman" w:hAnsi="Times New Roman" w:cs="Times New Roman" w:eastAsiaTheme="minorEastAsia"/>
                <w:b/>
                <w:i w:val="0"/>
                <w:iCs w:val="0"/>
                <w:color w:val="000000"/>
                <w:kern w:val="0"/>
                <w:sz w:val="18"/>
                <w:szCs w:val="18"/>
                <w:u w:val="none"/>
                <w:lang w:val="en-US" w:eastAsia="zh-CN" w:bidi="ar"/>
              </w:rPr>
              <w:t>经费</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val="0"/>
                <w:i w:val="0"/>
                <w:color w:val="000000"/>
                <w:sz w:val="22"/>
                <w:szCs w:val="22"/>
              </w:rPr>
            </w:pPr>
            <w:r>
              <w:rPr>
                <w:rFonts w:hint="default" w:ascii="Times New Roman" w:hAnsi="Times New Roman" w:cs="Times New Roman" w:eastAsiaTheme="minorEastAsia"/>
                <w:b/>
                <w:i w:val="0"/>
                <w:iCs w:val="0"/>
                <w:color w:val="000000"/>
                <w:kern w:val="0"/>
                <w:sz w:val="18"/>
                <w:szCs w:val="18"/>
                <w:u w:val="none"/>
                <w:lang w:val="en-US" w:eastAsia="zh-CN" w:bidi="ar"/>
              </w:rPr>
              <w:t>（万元）</w:t>
            </w:r>
          </w:p>
        </w:tc>
        <w:tc>
          <w:tcPr>
            <w:tcW w:w="885"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val="0"/>
                <w:i w:val="0"/>
                <w:color w:val="000000"/>
                <w:sz w:val="22"/>
                <w:szCs w:val="22"/>
              </w:rPr>
            </w:pPr>
            <w:r>
              <w:rPr>
                <w:rFonts w:hint="default" w:ascii="Times New Roman" w:hAnsi="Times New Roman" w:cs="Times New Roman" w:eastAsiaTheme="minorEastAsia"/>
                <w:b/>
                <w:i w:val="0"/>
                <w:iCs w:val="0"/>
                <w:color w:val="000000"/>
                <w:kern w:val="0"/>
                <w:sz w:val="18"/>
                <w:szCs w:val="18"/>
                <w:u w:val="none"/>
                <w:lang w:val="en-US" w:eastAsia="zh-CN" w:bidi="ar"/>
              </w:rPr>
              <w:t>主持人</w:t>
            </w:r>
          </w:p>
        </w:tc>
        <w:tc>
          <w:tcPr>
            <w:tcW w:w="2295"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b w:val="0"/>
                <w:i w:val="0"/>
                <w:color w:val="000000"/>
                <w:sz w:val="22"/>
                <w:szCs w:val="22"/>
              </w:rPr>
            </w:pPr>
            <w:r>
              <w:rPr>
                <w:rFonts w:hint="default" w:ascii="Times New Roman" w:hAnsi="Times New Roman" w:cs="Times New Roman" w:eastAsiaTheme="minorEastAsia"/>
                <w:b/>
                <w:i w:val="0"/>
                <w:iCs w:val="0"/>
                <w:color w:val="000000"/>
                <w:kern w:val="0"/>
                <w:sz w:val="18"/>
                <w:szCs w:val="18"/>
                <w:u w:val="none"/>
                <w:lang w:val="en-US" w:eastAsia="zh-CN" w:bidi="ar"/>
              </w:rPr>
              <w:t>所在部门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YH1701</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新增硕士学位授予单位立项建设策略研究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重点</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sz w:val="18"/>
                <w:szCs w:val="18"/>
                <w:u w:val="none"/>
                <w:lang w:val="en-US" w:eastAsia="zh-CN"/>
              </w:rPr>
              <w:t>2</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朱锡芳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333333"/>
                <w:sz w:val="18"/>
                <w:szCs w:val="18"/>
              </w:rPr>
              <w:t>李书进</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eastAsia="zh-CN"/>
              </w:rPr>
            </w:pPr>
            <w:r>
              <w:rPr>
                <w:rFonts w:hint="eastAsia" w:asciiTheme="minorEastAsia" w:hAnsiTheme="minorEastAsia" w:eastAsiaTheme="minorEastAsia" w:cstheme="minorEastAsia"/>
                <w:b w:val="0"/>
                <w:i w:val="0"/>
                <w:color w:val="000000"/>
                <w:sz w:val="18"/>
                <w:szCs w:val="18"/>
                <w:lang w:eastAsia="zh-CN"/>
              </w:rPr>
              <w:t>常州工学院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lang w:val="en-US" w:eastAsia="zh-CN"/>
              </w:rPr>
              <w:t>学科建设与研究生教育管理处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YH1702</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应用型本科高校产教融合发展研究——以常州工学院探索为例</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重点</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王传金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333333"/>
                <w:sz w:val="18"/>
                <w:szCs w:val="18"/>
              </w:rPr>
              <w:t>苗贵松</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eastAsia="zh-CN"/>
              </w:rPr>
            </w:pPr>
            <w:r>
              <w:rPr>
                <w:rFonts w:hint="eastAsia" w:asciiTheme="minorEastAsia" w:hAnsiTheme="minorEastAsia" w:eastAsiaTheme="minorEastAsia" w:cstheme="minorEastAsia"/>
                <w:b w:val="0"/>
                <w:i w:val="0"/>
                <w:color w:val="000000"/>
                <w:sz w:val="18"/>
                <w:szCs w:val="18"/>
                <w:lang w:eastAsia="zh-CN"/>
              </w:rPr>
              <w:t>常州工学院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eastAsia="zh-CN"/>
              </w:rPr>
            </w:pPr>
            <w:r>
              <w:rPr>
                <w:rFonts w:hint="eastAsia" w:asciiTheme="minorEastAsia" w:hAnsiTheme="minorEastAsia" w:eastAsiaTheme="minorEastAsia" w:cstheme="minorEastAsia"/>
                <w:b w:val="0"/>
                <w:i w:val="0"/>
                <w:color w:val="000000"/>
                <w:sz w:val="18"/>
                <w:szCs w:val="18"/>
                <w:lang w:val="en-US" w:eastAsia="zh-CN"/>
              </w:rPr>
              <w:t>教师教学发展中心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YH1703</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应用型地方本科高校大学生学习支持体系构建研究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重点</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潘金林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333333"/>
                <w:sz w:val="18"/>
                <w:szCs w:val="18"/>
              </w:rPr>
              <w:t>潘雪涛</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教育与人文学院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教务处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YH1704</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新建本科院校人才培养质量监测与保障体系研究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重点</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吴邦江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蒋惠凤</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教学质量评估中心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经济与管理学院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YH1705</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加拿大高校合作教育机制对我国新建本科院校协同育人机制建设的启示研究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李晓芳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谢光前</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lang w:val="en-US" w:eastAsia="zh-CN"/>
              </w:rPr>
              <w:t>计算机信息工程学院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YH1706</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新工科背景下的计算机类专业人才培养体系改革与实践</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胡智喜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庄燕滨</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计算机信息工程学院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fldChar w:fldCharType="begin"/>
            </w:r>
            <w:r>
              <w:rPr>
                <w:rFonts w:hint="eastAsia" w:asciiTheme="minorEastAsia" w:hAnsiTheme="minorEastAsia" w:eastAsiaTheme="minorEastAsia" w:cstheme="minorEastAsia"/>
                <w:b w:val="0"/>
                <w:i w:val="0"/>
                <w:color w:val="000000"/>
                <w:sz w:val="18"/>
                <w:szCs w:val="18"/>
                <w:lang w:val="en-US" w:eastAsia="zh-CN"/>
              </w:rPr>
              <w:instrText xml:space="preserve"> HYPERLINK "http://cxy.czu.cn/" \t "http://www.czu.cn/19/_blank" </w:instrText>
            </w:r>
            <w:r>
              <w:rPr>
                <w:rFonts w:hint="eastAsia" w:asciiTheme="minorEastAsia" w:hAnsiTheme="minorEastAsia" w:eastAsiaTheme="minorEastAsia" w:cstheme="minorEastAsia"/>
                <w:b w:val="0"/>
                <w:i w:val="0"/>
                <w:color w:val="000000"/>
                <w:sz w:val="18"/>
                <w:szCs w:val="18"/>
                <w:lang w:val="en-US" w:eastAsia="zh-CN"/>
              </w:rPr>
              <w:fldChar w:fldCharType="separate"/>
            </w:r>
            <w:r>
              <w:rPr>
                <w:rFonts w:hint="eastAsia" w:asciiTheme="minorEastAsia" w:hAnsiTheme="minorEastAsia" w:eastAsiaTheme="minorEastAsia" w:cstheme="minorEastAsia"/>
                <w:b w:val="0"/>
                <w:i w:val="0"/>
                <w:color w:val="000000"/>
                <w:sz w:val="18"/>
                <w:szCs w:val="18"/>
                <w:lang w:val="en-US" w:eastAsia="zh-CN"/>
              </w:rPr>
              <w:t>产学研工作办公室</w:t>
            </w:r>
            <w:r>
              <w:rPr>
                <w:rFonts w:hint="eastAsia" w:asciiTheme="minorEastAsia" w:hAnsiTheme="minorEastAsia" w:eastAsiaTheme="minorEastAsia" w:cstheme="minorEastAsia"/>
                <w:b w:val="0"/>
                <w:i w:val="0"/>
                <w:color w:val="000000"/>
                <w:sz w:val="18"/>
                <w:szCs w:val="18"/>
                <w:lang w:val="en-US"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YH1707</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新工科背景下新建本科院校二级学院治理与管理研究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孙悦娟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房汝建</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lang w:val="en-US" w:eastAsia="zh-CN"/>
              </w:rPr>
              <w:t>机械与车辆工程学院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YH1708</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基于灰色关联度的“3+4”学生专业素质比较分析研究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陈静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陈勇将</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lang w:val="en-US" w:eastAsia="zh-CN"/>
              </w:rPr>
              <w:t>机械与车辆工程学院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YH1709</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应用型地方本科高校校友文化体系构建与实践研究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陶骏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毛文杰</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校友联谊会办公室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党委宣传部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YH1710</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工程认证背景下基于CDIO的理科课程体系研究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陈荣军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钱峰</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lang w:val="en-US" w:eastAsia="zh-CN"/>
              </w:rPr>
              <w:t>数理与化工学院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YH1711</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应用型地方本科高校校园文化建设研究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万莹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李欢</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数理与化工学院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lang w:val="en-US" w:eastAsia="zh-CN"/>
              </w:rPr>
            </w:pPr>
            <w:r>
              <w:rPr>
                <w:rFonts w:hint="eastAsia" w:asciiTheme="minorEastAsia" w:hAnsiTheme="minorEastAsia" w:eastAsiaTheme="minorEastAsia" w:cstheme="minorEastAsia"/>
                <w:b w:val="0"/>
                <w:i w:val="0"/>
                <w:color w:val="000000"/>
                <w:sz w:val="18"/>
                <w:szCs w:val="18"/>
                <w:lang w:val="en-US" w:eastAsia="zh-CN"/>
              </w:rPr>
              <w:t>科研处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w:t>
            </w:r>
            <w:r>
              <w:rPr>
                <w:rFonts w:hint="eastAsia" w:asciiTheme="minorEastAsia" w:hAnsiTheme="minorEastAsia" w:eastAsiaTheme="minorEastAsia" w:cstheme="minorEastAsia"/>
                <w:b w:val="0"/>
                <w:i w:val="0"/>
                <w:color w:val="000000"/>
                <w:sz w:val="21"/>
                <w:szCs w:val="21"/>
              </w:rPr>
              <w:t>12</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新时代视域下应用型地方本科高校人才培养研究——基于日语专业服务区域发展的思考</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周虹</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lang w:val="en-US" w:eastAsia="zh-CN"/>
              </w:rPr>
              <w:t>外国语学院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5" w:hRule="atLeast"/>
          <w:tblCellSpacing w:w="0" w:type="dxa"/>
          <w:jc w:val="center"/>
        </w:trPr>
        <w:tc>
          <w:tcPr>
            <w:tcW w:w="990"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w:t>
            </w:r>
            <w:r>
              <w:rPr>
                <w:rFonts w:hint="eastAsia" w:asciiTheme="minorEastAsia" w:hAnsiTheme="minorEastAsia" w:eastAsiaTheme="minorEastAsia" w:cstheme="minorEastAsia"/>
                <w:b w:val="0"/>
                <w:i w:val="0"/>
                <w:color w:val="000000"/>
                <w:sz w:val="21"/>
                <w:szCs w:val="21"/>
              </w:rPr>
              <w:t>13</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基于工程教育专业认证的课程体系研究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朱建群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郭献芳</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lang w:val="en-US" w:eastAsia="zh-CN"/>
              </w:rPr>
              <w:t>土木建筑工程学院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75" w:hRule="atLeast"/>
          <w:tblCellSpacing w:w="0" w:type="dxa"/>
          <w:jc w:val="center"/>
        </w:trPr>
        <w:tc>
          <w:tcPr>
            <w:tcW w:w="990"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YH17</w:t>
            </w:r>
            <w:r>
              <w:rPr>
                <w:rFonts w:hint="eastAsia" w:asciiTheme="minorEastAsia" w:hAnsiTheme="minorEastAsia" w:eastAsiaTheme="minorEastAsia" w:cstheme="minorEastAsia"/>
                <w:b w:val="0"/>
                <w:i w:val="0"/>
                <w:color w:val="000000"/>
                <w:sz w:val="21"/>
                <w:szCs w:val="21"/>
              </w:rPr>
              <w:t>14</w:t>
            </w:r>
          </w:p>
        </w:tc>
        <w:tc>
          <w:tcPr>
            <w:tcW w:w="2977"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江苏省地方工科院校社科学报学术质量提升研究</w:t>
            </w:r>
          </w:p>
        </w:tc>
        <w:tc>
          <w:tcPr>
            <w:tcW w:w="741"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rPr>
              <w:t>一般</w:t>
            </w:r>
          </w:p>
        </w:tc>
        <w:tc>
          <w:tcPr>
            <w:tcW w:w="1020" w:type="dxa"/>
            <w:tcBorders>
              <w:tl2br w:val="nil"/>
              <w:tr2bl w:val="nil"/>
            </w:tcBorders>
            <w:shd w:val="clear" w:color="auto" w:fill="auto"/>
            <w:tcMar>
              <w:top w:w="75" w:type="dxa"/>
              <w:left w:w="150" w:type="dxa"/>
              <w:bottom w:w="75" w:type="dxa"/>
              <w:right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bottom"/>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0.5</w:t>
            </w:r>
          </w:p>
        </w:tc>
        <w:tc>
          <w:tcPr>
            <w:tcW w:w="88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val="0"/>
                <w:i w:val="0"/>
                <w:color w:val="000000"/>
                <w:sz w:val="18"/>
                <w:szCs w:val="18"/>
              </w:rPr>
              <w:t>赵青</w:t>
            </w:r>
          </w:p>
        </w:tc>
        <w:tc>
          <w:tcPr>
            <w:tcW w:w="2295" w:type="dxa"/>
            <w:tcBorders>
              <w:tl2br w:val="nil"/>
              <w:tr2bl w:val="nil"/>
            </w:tcBorders>
            <w:shd w:val="clear" w:color="auto" w:fill="FFFFFF"/>
            <w:tcMar>
              <w:top w:w="75" w:type="dxa"/>
              <w:left w:w="150" w:type="dxa"/>
              <w:bottom w:w="75" w:type="dxa"/>
              <w:right w:w="150"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outlineLvl w:val="9"/>
              <w:rPr>
                <w:rFonts w:hint="eastAsia" w:asciiTheme="minorEastAsia" w:hAnsiTheme="minorEastAsia" w:eastAsiaTheme="minorEastAsia" w:cstheme="minorEastAsia"/>
                <w:b w:val="0"/>
                <w:i w:val="0"/>
                <w:color w:val="000000"/>
                <w:sz w:val="18"/>
                <w:szCs w:val="18"/>
              </w:rPr>
            </w:pPr>
            <w:r>
              <w:rPr>
                <w:rFonts w:hint="eastAsia" w:asciiTheme="minorEastAsia" w:hAnsiTheme="minorEastAsia" w:eastAsiaTheme="minorEastAsia" w:cstheme="minorEastAsia"/>
                <w:b w:val="0"/>
                <w:i w:val="0"/>
                <w:color w:val="000000"/>
                <w:sz w:val="18"/>
                <w:szCs w:val="18"/>
                <w:lang w:val="en-US" w:eastAsia="zh-CN"/>
              </w:rPr>
              <w:t>学报编辑部</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E-YT2">
    <w:altName w:val="Malgun Gothic"/>
    <w:panose1 w:val="02060000000000000000"/>
    <w:charset w:val="81"/>
    <w:family w:val="auto"/>
    <w:pitch w:val="default"/>
    <w:sig w:usb0="00000000" w:usb1="00000000" w:usb2="00000033" w:usb3="00000000" w:csb0="00080000" w:csb1="00000000"/>
  </w:font>
  <w:font w:name="微软雅黑">
    <w:panose1 w:val="020B0503020204020204"/>
    <w:charset w:val="86"/>
    <w:family w:val="auto"/>
    <w:pitch w:val="default"/>
    <w:sig w:usb0="80000287" w:usb1="280F3C52" w:usb2="00000016" w:usb3="00000000" w:csb0="0004001F" w:csb1="00000000"/>
  </w:font>
  <w:font w:name="Lucida Sans">
    <w:altName w:val="Lucida Sans Unicode"/>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altName w:val="黑体"/>
    <w:panose1 w:val="020B0502040204020203"/>
    <w:charset w:val="86"/>
    <w:family w:val="auto"/>
    <w:pitch w:val="default"/>
    <w:sig w:usb0="00000000" w:usb1="00000000" w:usb2="00000016" w:usb3="00000000" w:csb0="0004000F"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隶书">
    <w:altName w:val="微软雅黑"/>
    <w:panose1 w:val="0201050906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0F" w:csb1="00000000"/>
  </w:font>
  <w:font w:name="MS Mincho">
    <w:panose1 w:val="02020609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altName w:val="MS UI Gothic"/>
    <w:panose1 w:val="020B0400000000000000"/>
    <w:charset w:val="80"/>
    <w:family w:val="auto"/>
    <w:pitch w:val="default"/>
    <w:sig w:usb0="00000000" w:usb1="00000000" w:usb2="00000016" w:usb3="00000000" w:csb0="2002009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Angsana New">
    <w:panose1 w:val="02020603050405020304"/>
    <w:charset w:val="00"/>
    <w:family w:val="roman"/>
    <w:pitch w:val="default"/>
    <w:sig w:usb0="81000003" w:usb1="00000000" w:usb2="00000000" w:usb3="00000000" w:csb0="00010001" w:csb1="00000000"/>
  </w:font>
  <w:font w:name="MV Boli">
    <w:panose1 w:val="02000500030200090000"/>
    <w:charset w:val="00"/>
    <w:family w:val="auto"/>
    <w:pitch w:val="default"/>
    <w:sig w:usb0="00000003" w:usb1="00000000" w:usb2="00000100" w:usb3="00000000" w:csb0="00000001"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微软雅黑"/>
    <w:panose1 w:val="03000509000000000000"/>
    <w:charset w:val="86"/>
    <w:family w:val="script"/>
    <w:pitch w:val="default"/>
    <w:sig w:usb0="00000000" w:usb1="00000000" w:usb2="00000010" w:usb3="00000000" w:csb0="00040000"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方正小标宋简体">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Calibri Light">
    <w:panose1 w:val="020F0302020204030204"/>
    <w:charset w:val="00"/>
    <w:family w:val="modern"/>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微软雅黑 黑体 宋体">
    <w:altName w:val="宋体"/>
    <w:panose1 w:val="00000000000000000000"/>
    <w:charset w:val="00"/>
    <w:family w:val="auto"/>
    <w:pitch w:val="default"/>
    <w:sig w:usb0="00000000" w:usb1="00000000" w:usb2="00000000" w:usb3="00000000" w:csb0="00000000" w:csb1="00000000"/>
  </w:font>
  <w:font w:name="草檀斋毛泽东字体">
    <w:panose1 w:val="02010601030101010101"/>
    <w:charset w:val="86"/>
    <w:family w:val="auto"/>
    <w:pitch w:val="default"/>
    <w:sig w:usb0="00000001" w:usb1="080E0000" w:usb2="00000000" w:usb3="00000000" w:csb0="00040000" w:csb1="00000000"/>
  </w:font>
  <w:font w:name="中國龍金石篆">
    <w:altName w:val="Segoe Print"/>
    <w:panose1 w:val="02010609000101010101"/>
    <w:charset w:val="00"/>
    <w:family w:val="auto"/>
    <w:pitch w:val="default"/>
    <w:sig w:usb0="00000000" w:usb1="00000000" w:usb2="00000000" w:usb3="00000000" w:csb0="00000000" w:csb1="00000000"/>
  </w:font>
  <w:font w:name="方正仿宋简体">
    <w:altName w:val="微软雅黑"/>
    <w:panose1 w:val="02000000000000000000"/>
    <w:charset w:val="86"/>
    <w:family w:val="auto"/>
    <w:pitch w:val="default"/>
    <w:sig w:usb0="00000000" w:usb1="00000000" w:usb2="00000012" w:usb3="00000000" w:csb0="00040001" w:csb1="00000000"/>
  </w:font>
  <w:font w:name="MS UI Gothic">
    <w:panose1 w:val="020B0600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E-B1">
    <w:altName w:val="Malgun Gothic"/>
    <w:panose1 w:val="02060000000000000000"/>
    <w:charset w:val="81"/>
    <w:family w:val="auto"/>
    <w:pitch w:val="default"/>
    <w:sig w:usb0="00000000" w:usb1="00000000" w:usb2="00000033" w:usb3="00000000" w:csb0="00080000" w:csb1="00000000"/>
  </w:font>
  <w:font w:name="Symbol">
    <w:panose1 w:val="05050102010706020507"/>
    <w:charset w:val="00"/>
    <w:family w:val="auto"/>
    <w:pitch w:val="default"/>
    <w:sig w:usb0="00000000" w:usb1="00000000" w:usb2="00000000" w:usb3="00000000" w:csb0="80000000" w:csb1="00000000"/>
  </w:font>
  <w:font w:name="lucida Grand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436D0"/>
    <w:rsid w:val="488D3FD3"/>
    <w:rsid w:val="501436D0"/>
    <w:rsid w:val="54427D4E"/>
    <w:rsid w:val="56B1431C"/>
    <w:rsid w:val="682A6738"/>
    <w:rsid w:val="72B568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rFonts w:ascii="微软雅黑" w:hAnsi="微软雅黑" w:eastAsia="微软雅黑" w:cs="微软雅黑"/>
      <w:color w:val="333333"/>
      <w:sz w:val="18"/>
      <w:szCs w:val="18"/>
      <w:u w:val="none"/>
    </w:rPr>
  </w:style>
  <w:style w:type="paragraph" w:customStyle="1" w:styleId="9">
    <w:name w:val="排版标题1"/>
    <w:basedOn w:val="2"/>
    <w:link w:val="10"/>
    <w:uiPriority w:val="0"/>
    <w:pPr>
      <w:spacing w:before="50" w:beforeLines="50" w:after="50" w:afterLines="50" w:line="360" w:lineRule="auto"/>
      <w:ind w:firstLine="960" w:firstLineChars="200"/>
      <w:jc w:val="left"/>
    </w:pPr>
    <w:rPr>
      <w:rFonts w:ascii="Calibri" w:hAnsi="Calibri" w:eastAsia="黑体"/>
      <w:bCs/>
      <w:sz w:val="32"/>
      <w:szCs w:val="44"/>
    </w:rPr>
  </w:style>
  <w:style w:type="character" w:customStyle="1" w:styleId="10">
    <w:name w:val="排版标题1 Char1"/>
    <w:link w:val="9"/>
    <w:uiPriority w:val="0"/>
    <w:rPr>
      <w:rFonts w:ascii="Calibri" w:hAnsi="Calibri" w:eastAsia="黑体"/>
      <w:b/>
      <w:bCs/>
      <w:sz w:val="32"/>
      <w:szCs w:val="44"/>
    </w:rPr>
  </w:style>
  <w:style w:type="paragraph" w:customStyle="1" w:styleId="11">
    <w:name w:val="排版标题2"/>
    <w:basedOn w:val="3"/>
    <w:link w:val="12"/>
    <w:uiPriority w:val="0"/>
    <w:pPr>
      <w:spacing w:after="50" w:afterLines="50" w:line="360" w:lineRule="auto"/>
      <w:ind w:firstLine="960" w:firstLineChars="200"/>
      <w:jc w:val="left"/>
    </w:pPr>
    <w:rPr>
      <w:rFonts w:ascii="Times New Roman" w:hAnsi="Times New Roman" w:eastAsia="黑体"/>
      <w:bCs/>
      <w:sz w:val="30"/>
      <w:szCs w:val="32"/>
    </w:rPr>
  </w:style>
  <w:style w:type="character" w:customStyle="1" w:styleId="12">
    <w:name w:val="排版标题2 Char1"/>
    <w:link w:val="11"/>
    <w:uiPriority w:val="0"/>
    <w:rPr>
      <w:rFonts w:ascii="Times New Roman" w:hAnsi="Times New Roman" w:eastAsia="黑体"/>
      <w:bCs/>
      <w:sz w:val="30"/>
      <w:szCs w:val="32"/>
    </w:rPr>
  </w:style>
  <w:style w:type="paragraph" w:customStyle="1" w:styleId="13">
    <w:name w:val="排版标题3"/>
    <w:basedOn w:val="4"/>
    <w:uiPriority w:val="0"/>
    <w:pPr>
      <w:spacing w:line="360" w:lineRule="auto"/>
      <w:ind w:firstLine="960" w:firstLineChars="200"/>
    </w:pPr>
    <w:rPr>
      <w:rFonts w:hint="eastAsia" w:ascii="Times New Roman" w:hAnsi="Times New Roman" w:eastAsia="黑体" w:cs="宋体"/>
      <w:bCs/>
      <w:kern w:val="0"/>
      <w:sz w:val="30"/>
      <w:szCs w:val="32"/>
    </w:rPr>
  </w:style>
  <w:style w:type="paragraph" w:customStyle="1" w:styleId="14">
    <w:name w:val="排版正文"/>
    <w:basedOn w:val="1"/>
    <w:qFormat/>
    <w:uiPriority w:val="0"/>
    <w:pPr>
      <w:spacing w:line="240" w:lineRule="auto"/>
      <w:ind w:firstLine="960" w:firstLineChars="200"/>
    </w:pPr>
    <w:rPr>
      <w:rFonts w:ascii="Times New Roman" w:hAnsi="Times New Roman" w:eastAsia="仿宋"/>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2017-12-29T05:59:00Z</dcterms:created>
  <dc:creator>老王回来了</dc:creator>
  <cp:lastModifiedBy>老王回来了</cp:lastModifiedBy>
  <dcterms:modified xsi:type="dcterms:W3CDTF">2017-12-29T06:00:39Z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